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77777777"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77777777"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p>
    <w:p w14:paraId="7672017D" w14:textId="77777777"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7777777"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77777777"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9910639" w14:textId="77777777" w:rsidR="00EA673E" w:rsidRDefault="00195C01"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77777777" w:rsidR="00E36796" w:rsidRDefault="00195C01"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14:paraId="04DBFFB5" w14:textId="77777777" w:rsidR="00846D5B" w:rsidRDefault="00195C01"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195C01">
              <w:rPr>
                <w:rFonts w:ascii="Arial" w:hAnsi="Arial" w:cs="Arial"/>
                <w:sz w:val="18"/>
                <w:szCs w:val="20"/>
              </w:rPr>
            </w:r>
            <w:r w:rsidR="00195C01">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14:paraId="75D515AE" w14:textId="77777777" w:rsidTr="0095303A">
        <w:tc>
          <w:tcPr>
            <w:tcW w:w="9322" w:type="dxa"/>
            <w:gridSpan w:val="3"/>
            <w:shd w:val="clear" w:color="auto" w:fill="DBE5F1" w:themeFill="accent1" w:themeFillTint="33"/>
          </w:tcPr>
          <w:p w14:paraId="492A463B" w14:textId="77777777"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14:paraId="3AC92566" w14:textId="77777777" w:rsidTr="0095303A">
        <w:trPr>
          <w:trHeight w:val="110"/>
        </w:trPr>
        <w:tc>
          <w:tcPr>
            <w:tcW w:w="6062" w:type="dxa"/>
            <w:shd w:val="clear" w:color="auto" w:fill="auto"/>
          </w:tcPr>
          <w:p w14:paraId="0AADA2A9" w14:textId="77777777"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14:paraId="4245D6FB" w14:textId="7CF9E04B"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sidR="00195C01">
              <w:rPr>
                <w:rFonts w:ascii="Arial" w:hAnsi="Arial" w:cs="Arial"/>
                <w:b/>
                <w:caps/>
              </w:rPr>
              <w:t>23</w:t>
            </w:r>
          </w:p>
        </w:tc>
        <w:tc>
          <w:tcPr>
            <w:tcW w:w="1559" w:type="dxa"/>
            <w:shd w:val="clear" w:color="auto" w:fill="auto"/>
          </w:tcPr>
          <w:p w14:paraId="0C552DC2" w14:textId="20EB0A40"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sidR="00195C01">
              <w:rPr>
                <w:rFonts w:ascii="Arial" w:hAnsi="Arial" w:cs="Arial"/>
                <w:b/>
                <w:caps/>
              </w:rPr>
              <w:t>24</w:t>
            </w:r>
          </w:p>
        </w:tc>
      </w:tr>
      <w:tr w:rsidR="00C741D4" w:rsidRPr="00B7024E" w14:paraId="7C8319A2" w14:textId="77777777" w:rsidTr="0095303A">
        <w:trPr>
          <w:trHeight w:val="130"/>
        </w:trPr>
        <w:tc>
          <w:tcPr>
            <w:tcW w:w="6062" w:type="dxa"/>
            <w:tcBorders>
              <w:bottom w:val="single" w:sz="4" w:space="0" w:color="auto"/>
            </w:tcBorders>
            <w:shd w:val="clear" w:color="auto" w:fill="auto"/>
          </w:tcPr>
          <w:p w14:paraId="51AC7D31" w14:textId="77777777"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14:paraId="614B910C" w14:textId="0CF97495"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1440" w:dyaOrig="1440" w14:anchorId="7BC5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65pt" o:ole="">
                  <v:imagedata r:id="rId16" o:title=""/>
                </v:shape>
                <w:control r:id="rId17" w:name="CheckBox14111171251" w:shapeid="_x0000_i1051"/>
              </w:object>
            </w:r>
          </w:p>
        </w:tc>
        <w:tc>
          <w:tcPr>
            <w:tcW w:w="1559" w:type="dxa"/>
            <w:tcBorders>
              <w:bottom w:val="single" w:sz="4" w:space="0" w:color="auto"/>
            </w:tcBorders>
            <w:shd w:val="clear" w:color="auto" w:fill="auto"/>
          </w:tcPr>
          <w:p w14:paraId="2B0867CE" w14:textId="1FE89FFE"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1440" w:dyaOrig="1440" w14:anchorId="5ED3F368">
                <v:shape id="_x0000_i1053" type="#_x0000_t75" style="width:15.65pt;height:15.65pt" o:ole="">
                  <v:imagedata r:id="rId16" o:title=""/>
                </v:shape>
                <w:control r:id="rId18" w:name="CheckBox14111171252" w:shapeid="_x0000_i1053"/>
              </w:object>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4CA8E47F"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w14:anchorId="042DCC34">
          <v:shape id="_x0000_i1055" type="#_x0000_t75" style="width:15.65pt;height:15.65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4F68E6BF"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57" type="#_x0000_t75" style="width:15.65pt;height:15.65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2B6C8652"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1440" w:dyaOrig="1440" w14:anchorId="48647339">
          <v:shape id="_x0000_i1059" type="#_x0000_t75" style="width:15.65pt;height:15.65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4DD99260"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61" type="#_x0000_t75" style="width:15.65pt;height:15.65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58928F2D"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63" type="#_x0000_t75" style="width:15.65pt;height:15.65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3F98BF43"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1440" w:dyaOrig="1440" w14:anchorId="2E2E7927">
          <v:shape id="_x0000_i1065" type="#_x0000_t75" style="width:15.65pt;height:15.65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2E2AEF0B" w14:textId="77777777" w:rsidR="00287F2D" w:rsidRDefault="00287F2D" w:rsidP="00011B5E">
      <w:pPr>
        <w:spacing w:after="0" w:line="320" w:lineRule="exact"/>
        <w:jc w:val="both"/>
        <w:rPr>
          <w:rFonts w:ascii="Arial" w:eastAsia="Times New Roman" w:hAnsi="Arial" w:cs="Arial"/>
          <w:b/>
          <w:sz w:val="20"/>
          <w:szCs w:val="24"/>
          <w:lang w:eastAsia="de-DE"/>
        </w:rPr>
      </w:pPr>
    </w:p>
    <w:p w14:paraId="402134B7" w14:textId="77777777" w:rsidR="00287F2D" w:rsidRDefault="00287F2D" w:rsidP="00011B5E">
      <w:pPr>
        <w:spacing w:after="0" w:line="320" w:lineRule="exact"/>
        <w:jc w:val="both"/>
        <w:rPr>
          <w:rFonts w:ascii="Arial" w:eastAsia="Times New Roman" w:hAnsi="Arial" w:cs="Arial"/>
          <w:b/>
          <w:sz w:val="20"/>
          <w:szCs w:val="24"/>
          <w:lang w:eastAsia="de-DE"/>
        </w:rPr>
      </w:pPr>
    </w:p>
    <w:p w14:paraId="54F02167" w14:textId="77777777"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5240DCA1"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1440" w:dyaOrig="1440" w14:anchorId="47EA8A89">
          <v:shape id="_x0000_i1067" type="#_x0000_t75" style="width:15.65pt;height:15.65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1D956753"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1440" w:dyaOrig="1440" w14:anchorId="0BD17A8C">
          <v:shape id="_x0000_i1069" type="#_x0000_t75" style="width:15.65pt;height:15.65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4"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4"/>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5"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6"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77777777"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77777777"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EFFF4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E4608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15733A5"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5014E"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C26F" w14:textId="77777777" w:rsidR="00617488" w:rsidRDefault="00617488" w:rsidP="00883922">
      <w:pPr>
        <w:spacing w:after="0" w:line="240" w:lineRule="auto"/>
      </w:pPr>
      <w:r>
        <w:separator/>
      </w:r>
    </w:p>
  </w:endnote>
  <w:endnote w:type="continuationSeparator" w:id="0">
    <w:p w14:paraId="08BDF435" w14:textId="77777777" w:rsidR="00617488" w:rsidRDefault="00617488"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29BF21C5" w:rsidR="00617488" w:rsidRPr="008A6C55" w:rsidRDefault="00617488">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195C01">
              <w:rPr>
                <w:rFonts w:ascii="Arial" w:hAnsi="Arial" w:cs="Arial"/>
                <w:b/>
                <w:bCs/>
                <w:noProof/>
                <w:sz w:val="18"/>
                <w:szCs w:val="16"/>
              </w:rPr>
              <w:t>3</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195C01">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617488" w:rsidRDefault="00617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AC11" w14:textId="77777777" w:rsidR="00617488" w:rsidRDefault="00617488" w:rsidP="00883922">
      <w:pPr>
        <w:spacing w:after="0" w:line="240" w:lineRule="auto"/>
      </w:pPr>
      <w:r>
        <w:separator/>
      </w:r>
    </w:p>
  </w:footnote>
  <w:footnote w:type="continuationSeparator" w:id="0">
    <w:p w14:paraId="135F8732" w14:textId="77777777" w:rsidR="00617488" w:rsidRDefault="00617488" w:rsidP="00883922">
      <w:pPr>
        <w:spacing w:after="0" w:line="240" w:lineRule="auto"/>
      </w:pPr>
      <w:r>
        <w:continuationSeparator/>
      </w:r>
    </w:p>
  </w:footnote>
  <w:footnote w:id="1">
    <w:p w14:paraId="02E9F113" w14:textId="564FF7FD" w:rsidR="00617488" w:rsidRDefault="00617488">
      <w:pPr>
        <w:pStyle w:val="Funotentext"/>
      </w:pPr>
      <w:r w:rsidRPr="005D375C">
        <w:rPr>
          <w:rStyle w:val="Funotenzeichen"/>
        </w:rPr>
        <w:footnoteRef/>
      </w:r>
      <w:r w:rsidRPr="005D375C">
        <w:t xml:space="preserve"> </w:t>
      </w:r>
      <w:r w:rsidR="00195C01">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617488" w:rsidRDefault="00617488">
      <w:pPr>
        <w:pStyle w:val="Funotentext"/>
      </w:pPr>
      <w:r>
        <w:rPr>
          <w:rStyle w:val="Funotenzeichen"/>
        </w:rPr>
        <w:footnoteRef/>
      </w:r>
      <w:r>
        <w:t xml:space="preserve"> </w:t>
      </w:r>
      <w:r w:rsidR="00195C01">
        <w:tab/>
      </w:r>
      <w:r w:rsidRPr="008E1005">
        <w:t>Im Falle einer Kooperation = federführende LAG</w:t>
      </w:r>
    </w:p>
  </w:footnote>
  <w:footnote w:id="3">
    <w:p w14:paraId="108014C2" w14:textId="77777777" w:rsidR="00617488" w:rsidRDefault="00617488"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617488" w:rsidRDefault="00617488"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617488" w:rsidRDefault="00617488" w:rsidP="0040195A">
      <w:pPr>
        <w:pStyle w:val="Funotentext"/>
        <w:tabs>
          <w:tab w:val="left" w:pos="142"/>
        </w:tabs>
      </w:pPr>
      <w:r>
        <w:rPr>
          <w:rStyle w:val="Funotenzeichen"/>
        </w:rPr>
        <w:footnoteRef/>
      </w:r>
      <w:r>
        <w:t xml:space="preserve"> </w:t>
      </w:r>
      <w:r>
        <w:tab/>
        <w:t>Aufgeteilt in förderfähige und nichtförderfähige Kosten.</w:t>
      </w:r>
      <w:bookmarkStart w:id="3" w:name="_GoBack"/>
      <w:bookmarkEnd w:id="3"/>
      <w:r>
        <w:t xml:space="preserve"> Umsatzsteuer ist von einer Förderung ausgeschlossen (weitere Förderausschlüsse siehe Nr. 6.3 der Beschreibung des Förderaufrufs). </w:t>
      </w:r>
    </w:p>
  </w:footnote>
  <w:footnote w:id="6">
    <w:p w14:paraId="4A12B5D0"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617488" w:rsidRPr="00084F91" w:rsidRDefault="00617488" w:rsidP="0040195A">
      <w:pPr>
        <w:pStyle w:val="Funotentext"/>
        <w:tabs>
          <w:tab w:val="left" w:pos="142"/>
        </w:tabs>
        <w:jc w:val="both"/>
        <w:rPr>
          <w:rFonts w:cs="Arial"/>
        </w:rPr>
      </w:pPr>
      <w:r w:rsidRPr="00084F91">
        <w:rPr>
          <w:rStyle w:val="Funotenzeichen"/>
          <w:rFonts w:cs="Arial"/>
        </w:rPr>
        <w:footnoteRef/>
      </w:r>
      <w:r>
        <w:rPr>
          <w:rFonts w:cs="Arial"/>
        </w:rPr>
        <w:t xml:space="preserve"> </w:t>
      </w:r>
      <w:r w:rsidR="00195C01">
        <w:rPr>
          <w:rFonts w:cs="Arial"/>
        </w:rPr>
        <w:tab/>
      </w:r>
      <w:r w:rsidRPr="00084F91">
        <w:rPr>
          <w:rFonts w:cs="Arial"/>
        </w:rPr>
        <w:t>Sonstige Förderprogramme bspw. ISB, KfW</w:t>
      </w:r>
      <w:r>
        <w:rPr>
          <w:rFonts w:cs="Arial"/>
        </w:rPr>
        <w:t>, Dorferneuerung, Kommunale Förderprogramme.</w:t>
      </w:r>
    </w:p>
  </w:footnote>
  <w:footnote w:id="8">
    <w:p w14:paraId="05433971" w14:textId="0E8DF255" w:rsidR="00617488" w:rsidRDefault="00617488" w:rsidP="00195C01">
      <w:pPr>
        <w:pStyle w:val="Funotentext"/>
        <w:tabs>
          <w:tab w:val="left" w:pos="142"/>
        </w:tabs>
        <w:jc w:val="both"/>
      </w:pPr>
      <w:r w:rsidRPr="00084F91">
        <w:rPr>
          <w:rStyle w:val="Funotenzeichen"/>
          <w:rFonts w:cs="Arial"/>
        </w:rPr>
        <w:footnoteRef/>
      </w:r>
      <w:r w:rsidRPr="00084F91">
        <w:rPr>
          <w:rFonts w:cs="Arial"/>
        </w:rPr>
        <w:t xml:space="preserve"> </w:t>
      </w:r>
      <w:r w:rsidR="00195C01">
        <w:rPr>
          <w:rFonts w:cs="Arial"/>
        </w:rPr>
        <w:tab/>
      </w:r>
      <w:r w:rsidRPr="00084F91">
        <w:rPr>
          <w:rFonts w:cs="Arial"/>
        </w:rPr>
        <w:t>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14:paraId="7EFF477D" w14:textId="52E67E17" w:rsidR="00617488" w:rsidRDefault="00617488" w:rsidP="00195C01">
      <w:pPr>
        <w:pStyle w:val="Funotentext"/>
        <w:jc w:val="both"/>
      </w:pPr>
      <w:r>
        <w:rPr>
          <w:rStyle w:val="Funotenzeichen"/>
        </w:rPr>
        <w:footnoteRef/>
      </w:r>
      <w:r>
        <w:t xml:space="preserve"> </w:t>
      </w:r>
      <w:r w:rsidR="00195C01">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14:paraId="22668365" w14:textId="1C8CEF73" w:rsidR="00617488" w:rsidRDefault="00617488">
      <w:pPr>
        <w:pStyle w:val="Funotentext"/>
      </w:pPr>
      <w:r>
        <w:rPr>
          <w:rStyle w:val="Funotenzeichen"/>
        </w:rPr>
        <w:footnoteRef/>
      </w:r>
      <w:r w:rsidR="00195C01">
        <w:tab/>
      </w:r>
      <w:r>
        <w:t>Die Einholung fachlicher Stellungnahmen liegt im Ermessen der LAG und sollte niederschwellig erfolgen.</w:t>
      </w:r>
    </w:p>
  </w:footnote>
  <w:footnote w:id="11">
    <w:p w14:paraId="51CB6C44" w14:textId="756D22BC" w:rsidR="00617488" w:rsidRDefault="00617488">
      <w:pPr>
        <w:pStyle w:val="Funotentext"/>
      </w:pPr>
      <w:r>
        <w:rPr>
          <w:rStyle w:val="Funotenzeichen"/>
        </w:rPr>
        <w:footnoteRef/>
      </w:r>
      <w:r>
        <w:t xml:space="preserve"> nur für </w:t>
      </w:r>
      <w:r w:rsidR="00E464A6">
        <w:t>„</w:t>
      </w:r>
      <w:r>
        <w:t>Kleinstunternehmen der Grundversorgung</w:t>
      </w:r>
      <w:r w:rsidR="00E464A6">
        <w:t>“</w:t>
      </w:r>
      <w:r>
        <w:t xml:space="preserve"> und </w:t>
      </w:r>
      <w:r w:rsidR="00E464A6">
        <w:t>„</w:t>
      </w:r>
      <w:r>
        <w:t>Einrichtungen für lokale Basisdienstleistungen</w:t>
      </w:r>
      <w:r w:rsidR="00E464A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4B5" w14:textId="77777777" w:rsidR="00617488" w:rsidRPr="008F4CEB" w:rsidRDefault="00617488"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BC5113" wp14:editId="587F2536">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01">
      <w:rPr>
        <w:rFonts w:ascii="Arial" w:hAnsi="Arial" w:cs="Arial"/>
        <w:b/>
        <w:noProof/>
        <w:sz w:val="18"/>
        <w:lang w:eastAsia="de-DE"/>
      </w:rPr>
      <w:object w:dxaOrig="1440" w:dyaOrig="1440" w14:anchorId="20C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735728984" r:id="rId5"/>
      </w:object>
    </w:r>
    <w:r>
      <w:rPr>
        <w:rFonts w:ascii="Arial" w:hAnsi="Arial" w:cs="Arial"/>
        <w:b/>
        <w:sz w:val="18"/>
      </w:rPr>
      <w:t>GAK - Regionalbudget</w:t>
    </w:r>
    <w:r w:rsidRPr="008F4CEB">
      <w:rPr>
        <w:rFonts w:ascii="Arial" w:hAnsi="Arial" w:cs="Arial"/>
        <w:b/>
        <w:sz w:val="18"/>
      </w:rPr>
      <w:t xml:space="preserve"> im LEADER-Ansatz</w:t>
    </w:r>
  </w:p>
  <w:p w14:paraId="2CB8C01B" w14:textId="77777777" w:rsidR="00617488" w:rsidRPr="008F4CEB" w:rsidRDefault="00617488"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E143A"/>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C75898-A7AF-43C3-8BF5-CD1FA8D2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Maier, Olaf (ADD)</cp:lastModifiedBy>
  <cp:revision>3</cp:revision>
  <dcterms:created xsi:type="dcterms:W3CDTF">2021-12-16T15:17:00Z</dcterms:created>
  <dcterms:modified xsi:type="dcterms:W3CDTF">2023-01-20T13:09:00Z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